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730" w:tblpY="-1079"/>
        <w:tblW w:w="0" w:type="auto"/>
        <w:tblLayout w:type="fixed"/>
        <w:tblLook w:val="00BF"/>
      </w:tblPr>
      <w:tblGrid>
        <w:gridCol w:w="2832"/>
        <w:gridCol w:w="2388"/>
        <w:gridCol w:w="2268"/>
        <w:gridCol w:w="2610"/>
        <w:gridCol w:w="2202"/>
        <w:gridCol w:w="2388"/>
      </w:tblGrid>
      <w:tr w:rsidR="0092473F" w:rsidRPr="003E61BE" w:rsidTr="003E61BE">
        <w:trPr>
          <w:gridAfter w:val="5"/>
          <w:wAfter w:w="11856" w:type="dxa"/>
        </w:trPr>
        <w:tc>
          <w:tcPr>
            <w:tcW w:w="2832" w:type="dxa"/>
          </w:tcPr>
          <w:p w:rsidR="0092473F" w:rsidRPr="003E61BE" w:rsidRDefault="00186389" w:rsidP="007725A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  <w:r w:rsidR="001C11CC">
              <w:rPr>
                <w:b/>
                <w:sz w:val="16"/>
                <w:szCs w:val="16"/>
              </w:rPr>
              <w:t>Week of November 1</w:t>
            </w:r>
            <w:r w:rsidR="0092473F" w:rsidRPr="003E61BE">
              <w:rPr>
                <w:b/>
                <w:sz w:val="16"/>
                <w:szCs w:val="16"/>
              </w:rPr>
              <w:t xml:space="preserve"> Lesson Plans </w:t>
            </w:r>
          </w:p>
        </w:tc>
      </w:tr>
      <w:tr w:rsidR="0092473F" w:rsidRPr="003E61BE" w:rsidTr="00890D00">
        <w:tc>
          <w:tcPr>
            <w:tcW w:w="2832" w:type="dxa"/>
          </w:tcPr>
          <w:p w:rsidR="0092473F" w:rsidRPr="003E61BE" w:rsidRDefault="0092473F" w:rsidP="00BB1FBB">
            <w:pPr>
              <w:jc w:val="center"/>
              <w:rPr>
                <w:rFonts w:ascii="Arial" w:hAnsi="Arial"/>
                <w:b/>
                <w:sz w:val="16"/>
                <w:szCs w:val="16"/>
                <w:u w:val="single"/>
              </w:rPr>
            </w:pPr>
          </w:p>
        </w:tc>
        <w:tc>
          <w:tcPr>
            <w:tcW w:w="2388" w:type="dxa"/>
          </w:tcPr>
          <w:p w:rsidR="0092473F" w:rsidRPr="003E61BE" w:rsidRDefault="007725AA" w:rsidP="00BB1FB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61BE">
              <w:rPr>
                <w:rFonts w:ascii="Arial" w:hAnsi="Arial"/>
                <w:b/>
                <w:sz w:val="16"/>
                <w:szCs w:val="16"/>
              </w:rPr>
              <w:t xml:space="preserve">Monday, </w:t>
            </w:r>
            <w:r w:rsidR="00A3608C" w:rsidRPr="003E61BE">
              <w:rPr>
                <w:rFonts w:ascii="Arial" w:hAnsi="Arial"/>
                <w:b/>
                <w:sz w:val="16"/>
                <w:szCs w:val="16"/>
              </w:rPr>
              <w:t>November 1</w:t>
            </w:r>
          </w:p>
        </w:tc>
        <w:tc>
          <w:tcPr>
            <w:tcW w:w="2268" w:type="dxa"/>
          </w:tcPr>
          <w:p w:rsidR="0092473F" w:rsidRPr="003E61BE" w:rsidRDefault="007725AA" w:rsidP="00BB1FB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61BE">
              <w:rPr>
                <w:rFonts w:ascii="Arial" w:hAnsi="Arial"/>
                <w:b/>
                <w:sz w:val="16"/>
                <w:szCs w:val="16"/>
              </w:rPr>
              <w:t xml:space="preserve">Tuesday, </w:t>
            </w:r>
            <w:r w:rsidR="00A3608C" w:rsidRPr="003E61BE">
              <w:rPr>
                <w:rFonts w:ascii="Arial" w:hAnsi="Arial"/>
                <w:b/>
                <w:sz w:val="16"/>
                <w:szCs w:val="16"/>
              </w:rPr>
              <w:t>November 2</w:t>
            </w:r>
          </w:p>
        </w:tc>
        <w:tc>
          <w:tcPr>
            <w:tcW w:w="2610" w:type="dxa"/>
          </w:tcPr>
          <w:p w:rsidR="0092473F" w:rsidRPr="003E61BE" w:rsidRDefault="007725AA" w:rsidP="00A3608C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61BE">
              <w:rPr>
                <w:rFonts w:ascii="Arial" w:hAnsi="Arial"/>
                <w:b/>
                <w:sz w:val="16"/>
                <w:szCs w:val="16"/>
              </w:rPr>
              <w:t xml:space="preserve">Wednesday, </w:t>
            </w:r>
            <w:r w:rsidR="00A3608C" w:rsidRPr="003E61BE">
              <w:rPr>
                <w:rFonts w:ascii="Arial" w:hAnsi="Arial"/>
                <w:b/>
                <w:sz w:val="16"/>
                <w:szCs w:val="16"/>
              </w:rPr>
              <w:t>November 3</w:t>
            </w:r>
          </w:p>
        </w:tc>
        <w:tc>
          <w:tcPr>
            <w:tcW w:w="2202" w:type="dxa"/>
          </w:tcPr>
          <w:p w:rsidR="0092473F" w:rsidRPr="003E61BE" w:rsidRDefault="007725AA" w:rsidP="00BB1FB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61BE">
              <w:rPr>
                <w:rFonts w:ascii="Arial" w:hAnsi="Arial"/>
                <w:b/>
                <w:sz w:val="16"/>
                <w:szCs w:val="16"/>
              </w:rPr>
              <w:t xml:space="preserve">Thursday, </w:t>
            </w:r>
            <w:r w:rsidR="00A3608C" w:rsidRPr="003E61BE">
              <w:rPr>
                <w:rFonts w:ascii="Arial" w:hAnsi="Arial"/>
                <w:b/>
                <w:sz w:val="16"/>
                <w:szCs w:val="16"/>
              </w:rPr>
              <w:t>November 4</w:t>
            </w:r>
          </w:p>
        </w:tc>
        <w:tc>
          <w:tcPr>
            <w:tcW w:w="2388" w:type="dxa"/>
          </w:tcPr>
          <w:p w:rsidR="0092473F" w:rsidRPr="003E61BE" w:rsidRDefault="007725AA" w:rsidP="00BB1FBB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3E61BE">
              <w:rPr>
                <w:rFonts w:ascii="Arial" w:hAnsi="Arial"/>
                <w:b/>
                <w:sz w:val="16"/>
                <w:szCs w:val="16"/>
              </w:rPr>
              <w:t xml:space="preserve">Friday, </w:t>
            </w:r>
            <w:r w:rsidR="00A3608C" w:rsidRPr="003E61BE">
              <w:rPr>
                <w:rFonts w:ascii="Arial" w:hAnsi="Arial"/>
                <w:b/>
                <w:sz w:val="16"/>
                <w:szCs w:val="16"/>
              </w:rPr>
              <w:t>November 5</w:t>
            </w:r>
          </w:p>
        </w:tc>
      </w:tr>
      <w:tr w:rsidR="00A3608C" w:rsidRPr="003E61BE" w:rsidTr="00890D00">
        <w:trPr>
          <w:trHeight w:val="7343"/>
        </w:trPr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GLETS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Standard: </w:t>
            </w:r>
          </w:p>
          <w:p w:rsidR="00A3608C" w:rsidRPr="003E61BE" w:rsidRDefault="00A3608C" w:rsidP="00A3608C">
            <w:pPr>
              <w:pStyle w:val="BodyText2"/>
              <w:rPr>
                <w:sz w:val="16"/>
                <w:szCs w:val="16"/>
                <w:u w:val="none"/>
              </w:rPr>
            </w:pPr>
            <w:r w:rsidRPr="003E61BE">
              <w:rPr>
                <w:sz w:val="16"/>
                <w:szCs w:val="16"/>
                <w:u w:val="none"/>
              </w:rPr>
              <w:t xml:space="preserve">4.1.a Describe and apply the properties of similar and congruent figures </w:t>
            </w:r>
          </w:p>
          <w:p w:rsidR="00A3608C" w:rsidRPr="003E61BE" w:rsidRDefault="00A3608C" w:rsidP="00A3608C">
            <w:pPr>
              <w:rPr>
                <w:color w:val="FF0000"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6.1.a Use ratios, proportions, and percents in problem solving situations that involve rational numbers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2.5</w:t>
            </w:r>
            <w:proofErr w:type="gramStart"/>
            <w:r w:rsidRPr="003E61BE">
              <w:rPr>
                <w:color w:val="FF0000"/>
                <w:sz w:val="16"/>
                <w:szCs w:val="16"/>
              </w:rPr>
              <w:t>.c</w:t>
            </w:r>
            <w:proofErr w:type="gramEnd"/>
            <w:r w:rsidRPr="003E61BE">
              <w:rPr>
                <w:color w:val="FF0000"/>
                <w:sz w:val="16"/>
                <w:szCs w:val="16"/>
              </w:rPr>
              <w:t xml:space="preserve"> Interpret algebraic equations and inequalities geometrically and describe geometric relationships algebraically</w:t>
            </w:r>
            <w:r w:rsidRPr="003E61BE">
              <w:rPr>
                <w:sz w:val="16"/>
                <w:szCs w:val="16"/>
              </w:rPr>
              <w:t>.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GLET: </w:t>
            </w:r>
          </w:p>
          <w:p w:rsidR="00A3608C" w:rsidRPr="003E61BE" w:rsidRDefault="00A3608C" w:rsidP="00A3608C">
            <w:pPr>
              <w:pStyle w:val="Default"/>
              <w:ind w:left="150" w:hanging="150"/>
              <w:rPr>
                <w:rFonts w:ascii="Times New Roman" w:hAnsi="Times New Roman"/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Use properties of triangles to find similarity shortcuts of triangles</w:t>
            </w:r>
          </w:p>
          <w:p w:rsidR="00A3608C" w:rsidRPr="003E61BE" w:rsidRDefault="00A3608C" w:rsidP="00A3608C">
            <w:pPr>
              <w:pStyle w:val="Default"/>
              <w:ind w:left="150" w:hanging="150"/>
              <w:rPr>
                <w:rFonts w:ascii="Times New Roman" w:hAnsi="Times New Roman"/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Understand what aspects must be true for two polygons to be similar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Find the ratio/proportion between two similar figures</w:t>
            </w:r>
          </w:p>
          <w:p w:rsidR="00A3608C" w:rsidRPr="003E61BE" w:rsidRDefault="00A3608C" w:rsidP="00A3608C">
            <w:pPr>
              <w:numPr>
                <w:ilvl w:val="1"/>
                <w:numId w:val="6"/>
              </w:numPr>
              <w:tabs>
                <w:tab w:val="clear" w:pos="1440"/>
                <w:tab w:val="num" w:pos="277"/>
              </w:tabs>
              <w:ind w:left="393" w:hanging="393"/>
              <w:rPr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Describe geometric relationships algebraically.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Objective: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(Define similarity. Determine if polygons are similar by setting up proportions/finding the ratio)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******all sections included come from prentice hall text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Standard: </w:t>
            </w:r>
          </w:p>
          <w:p w:rsidR="00A3608C" w:rsidRPr="003E61BE" w:rsidRDefault="00A3608C" w:rsidP="00A3608C">
            <w:pPr>
              <w:rPr>
                <w:color w:val="FF0000"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6.1.a Use ratios, proportions, and percents in problem solving situations that involve rational numbers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2.5</w:t>
            </w:r>
            <w:proofErr w:type="gramStart"/>
            <w:r w:rsidRPr="003E61BE">
              <w:rPr>
                <w:color w:val="FF0000"/>
                <w:sz w:val="16"/>
                <w:szCs w:val="16"/>
              </w:rPr>
              <w:t>.c</w:t>
            </w:r>
            <w:proofErr w:type="gramEnd"/>
            <w:r w:rsidRPr="003E61BE">
              <w:rPr>
                <w:color w:val="FF0000"/>
                <w:sz w:val="16"/>
                <w:szCs w:val="16"/>
              </w:rPr>
              <w:t xml:space="preserve"> Interpret algebraic equations and inequalities geometrically and describe geometric relationships algebraically</w:t>
            </w:r>
            <w:r w:rsidRPr="003E61BE">
              <w:rPr>
                <w:sz w:val="16"/>
                <w:szCs w:val="16"/>
              </w:rPr>
              <w:t>.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GLET: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Use proportions to find missing side dimensions of similar figures</w:t>
            </w:r>
          </w:p>
          <w:p w:rsidR="00A3608C" w:rsidRPr="003E61BE" w:rsidRDefault="00A3608C" w:rsidP="00A3608C">
            <w:pPr>
              <w:numPr>
                <w:ilvl w:val="1"/>
                <w:numId w:val="6"/>
              </w:numPr>
              <w:tabs>
                <w:tab w:val="clear" w:pos="1440"/>
                <w:tab w:val="num" w:pos="277"/>
              </w:tabs>
              <w:ind w:left="393" w:hanging="393"/>
              <w:rPr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Describe geometric relationships algebraically.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Objective: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(Using polygon similarity, solve for missing sides)</w:t>
            </w:r>
          </w:p>
        </w:tc>
        <w:tc>
          <w:tcPr>
            <w:tcW w:w="2610" w:type="dxa"/>
          </w:tcPr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Standard: </w:t>
            </w:r>
          </w:p>
          <w:p w:rsidR="00A3608C" w:rsidRPr="003E61BE" w:rsidRDefault="00A3608C" w:rsidP="00A3608C">
            <w:pPr>
              <w:rPr>
                <w:color w:val="FF0000"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6.1.a Use ratios, proportions, and percents in problem solving situations that involve rational numbers</w:t>
            </w:r>
          </w:p>
          <w:p w:rsidR="00A3608C" w:rsidRPr="003E61BE" w:rsidRDefault="00A3608C" w:rsidP="00A3608C">
            <w:pPr>
              <w:pStyle w:val="BodyText2"/>
              <w:rPr>
                <w:sz w:val="16"/>
                <w:szCs w:val="16"/>
                <w:u w:val="none"/>
              </w:rPr>
            </w:pPr>
            <w:r w:rsidRPr="003E61BE">
              <w:rPr>
                <w:sz w:val="16"/>
                <w:szCs w:val="16"/>
                <w:u w:val="none"/>
              </w:rPr>
              <w:t xml:space="preserve">4.1.a Describe and apply the properties of similar and congruent figures </w:t>
            </w:r>
          </w:p>
          <w:p w:rsidR="00A3608C" w:rsidRPr="003E61BE" w:rsidRDefault="00A3608C" w:rsidP="00A3608C">
            <w:pPr>
              <w:rPr>
                <w:color w:val="FF0000"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1.3.a Use number sense to estimate and justify the reasonableness of solutions to problems involving real numbers</w:t>
            </w:r>
          </w:p>
          <w:p w:rsidR="00A3608C" w:rsidRPr="003E61BE" w:rsidRDefault="00A3608C" w:rsidP="00A3608C">
            <w:pPr>
              <w:pStyle w:val="BodyText2"/>
              <w:rPr>
                <w:sz w:val="16"/>
                <w:szCs w:val="16"/>
                <w:u w:val="none"/>
              </w:rPr>
            </w:pPr>
            <w:r w:rsidRPr="003E61BE">
              <w:rPr>
                <w:color w:val="FF0000"/>
                <w:sz w:val="16"/>
                <w:szCs w:val="16"/>
                <w:u w:val="none"/>
              </w:rPr>
              <w:t>2.5</w:t>
            </w:r>
            <w:proofErr w:type="gramStart"/>
            <w:r w:rsidRPr="003E61BE">
              <w:rPr>
                <w:color w:val="FF0000"/>
                <w:sz w:val="16"/>
                <w:szCs w:val="16"/>
                <w:u w:val="none"/>
              </w:rPr>
              <w:t>.c</w:t>
            </w:r>
            <w:proofErr w:type="gramEnd"/>
            <w:r w:rsidRPr="003E61BE">
              <w:rPr>
                <w:color w:val="FF0000"/>
                <w:sz w:val="16"/>
                <w:szCs w:val="16"/>
                <w:u w:val="none"/>
              </w:rPr>
              <w:t xml:space="preserve"> Interpret algebraic equations and inequalities geometrically and describe geometric relationships algebraically</w:t>
            </w:r>
            <w:r w:rsidRPr="003E61BE">
              <w:rPr>
                <w:sz w:val="16"/>
                <w:szCs w:val="16"/>
                <w:u w:val="none"/>
              </w:rPr>
              <w:t>.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GLET: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Use proportions to find missing side dimensions of similar figures</w:t>
            </w:r>
          </w:p>
          <w:p w:rsidR="00A3608C" w:rsidRPr="003E61BE" w:rsidRDefault="00A3608C" w:rsidP="00A3608C">
            <w:pPr>
              <w:pStyle w:val="Default"/>
              <w:ind w:left="150" w:hanging="150"/>
              <w:rPr>
                <w:rFonts w:ascii="Times New Roman" w:hAnsi="Times New Roman"/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Use triangle similarity shortcuts to solve real-world problem including indirect measurement.</w:t>
            </w:r>
          </w:p>
          <w:p w:rsidR="00A3608C" w:rsidRPr="003E61BE" w:rsidRDefault="00A3608C" w:rsidP="00A3608C">
            <w:pPr>
              <w:pStyle w:val="Default"/>
              <w:ind w:left="150" w:hanging="150"/>
              <w:rPr>
                <w:rFonts w:ascii="Times New Roman" w:hAnsi="Times New Roman"/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Applies estimation skills to justify reasonableness of a solution in a real world situation</w:t>
            </w:r>
          </w:p>
          <w:p w:rsidR="00A3608C" w:rsidRPr="003E61BE" w:rsidRDefault="00A3608C" w:rsidP="00A3608C">
            <w:pPr>
              <w:numPr>
                <w:ilvl w:val="1"/>
                <w:numId w:val="6"/>
              </w:numPr>
              <w:tabs>
                <w:tab w:val="clear" w:pos="1440"/>
                <w:tab w:val="num" w:pos="277"/>
              </w:tabs>
              <w:ind w:left="393" w:hanging="393"/>
              <w:rPr>
                <w:sz w:val="16"/>
                <w:szCs w:val="16"/>
              </w:rPr>
            </w:pPr>
            <w:r w:rsidRPr="003E61BE">
              <w:rPr>
                <w:rFonts w:ascii="Times New Roman" w:hAnsi="Times New Roman"/>
                <w:sz w:val="16"/>
                <w:szCs w:val="16"/>
              </w:rPr>
              <w:t>Describe geometric relationships algebraically.</w:t>
            </w:r>
          </w:p>
          <w:p w:rsidR="00A3608C" w:rsidRPr="003E61BE" w:rsidRDefault="00A3608C" w:rsidP="00A3608C">
            <w:pPr>
              <w:pStyle w:val="Default"/>
              <w:ind w:left="150" w:hanging="150"/>
              <w:rPr>
                <w:rFonts w:ascii="Times New Roman" w:hAnsi="Times New Roman"/>
                <w:sz w:val="16"/>
                <w:szCs w:val="16"/>
              </w:rPr>
            </w:pP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Objective: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(similarity in real world &amp; include estimation)</w:t>
            </w:r>
          </w:p>
        </w:tc>
        <w:tc>
          <w:tcPr>
            <w:tcW w:w="2202" w:type="dxa"/>
          </w:tcPr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Standard: </w:t>
            </w:r>
          </w:p>
          <w:p w:rsidR="00A3608C" w:rsidRPr="003E61BE" w:rsidRDefault="00A3608C" w:rsidP="00A3608C">
            <w:pPr>
              <w:rPr>
                <w:color w:val="0000FF"/>
                <w:sz w:val="16"/>
                <w:szCs w:val="16"/>
              </w:rPr>
            </w:pPr>
            <w:r w:rsidRPr="003E61BE">
              <w:rPr>
                <w:color w:val="FF0000"/>
                <w:sz w:val="16"/>
                <w:szCs w:val="16"/>
              </w:rPr>
              <w:t>6.1.a Use ratios, proportions, and percents in problem solving situations that involve rational numbers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GLET: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Use proportions to find missing side dimensions of similar figures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Find the ratio/proportion between two similar figures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Use a ratio/proportion to construct a similar figure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Objective: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(</w:t>
            </w:r>
            <w:proofErr w:type="gramStart"/>
            <w:r w:rsidRPr="003E61BE">
              <w:rPr>
                <w:sz w:val="16"/>
                <w:szCs w:val="16"/>
              </w:rPr>
              <w:t>funky</w:t>
            </w:r>
            <w:proofErr w:type="gramEnd"/>
            <w:r w:rsidRPr="003E61BE">
              <w:rPr>
                <w:sz w:val="16"/>
                <w:szCs w:val="16"/>
              </w:rPr>
              <w:t xml:space="preserve"> proportions </w:t>
            </w:r>
            <w:proofErr w:type="spellStart"/>
            <w:r w:rsidRPr="003E61BE">
              <w:rPr>
                <w:sz w:val="16"/>
                <w:szCs w:val="16"/>
              </w:rPr>
              <w:t>ie</w:t>
            </w:r>
            <w:proofErr w:type="spellEnd"/>
            <w:r w:rsidRPr="003E61BE">
              <w:rPr>
                <w:sz w:val="16"/>
                <w:szCs w:val="16"/>
              </w:rPr>
              <w:t>. Superimposed polygons, polygons sharing sides 7.2ish)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 xml:space="preserve">Standard: </w:t>
            </w:r>
          </w:p>
          <w:p w:rsidR="00A3608C" w:rsidRPr="003E61BE" w:rsidRDefault="00A3608C" w:rsidP="00A3608C">
            <w:p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5.1</w:t>
            </w:r>
            <w:proofErr w:type="gramStart"/>
            <w:r w:rsidRPr="003E61BE">
              <w:rPr>
                <w:color w:val="0000FF"/>
                <w:sz w:val="16"/>
                <w:szCs w:val="16"/>
              </w:rPr>
              <w:t>.d</w:t>
            </w:r>
            <w:proofErr w:type="gramEnd"/>
            <w:r w:rsidRPr="003E61BE">
              <w:rPr>
                <w:color w:val="0000FF"/>
                <w:sz w:val="16"/>
                <w:szCs w:val="16"/>
              </w:rPr>
              <w:t xml:space="preserve"> Describe how changing the measure of one attribute of a geometric figure affects other measurements.</w:t>
            </w:r>
          </w:p>
          <w:p w:rsidR="00A3608C" w:rsidRPr="003E61BE" w:rsidRDefault="00A3608C" w:rsidP="00A3608C">
            <w:pPr>
              <w:numPr>
                <w:ilvl w:val="0"/>
                <w:numId w:val="7"/>
              </w:num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Angle measure</w:t>
            </w:r>
          </w:p>
          <w:p w:rsidR="00A3608C" w:rsidRPr="003E61BE" w:rsidRDefault="00A3608C" w:rsidP="00A3608C">
            <w:pPr>
              <w:numPr>
                <w:ilvl w:val="0"/>
                <w:numId w:val="7"/>
              </w:num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Perimeter</w:t>
            </w:r>
          </w:p>
          <w:p w:rsidR="00A3608C" w:rsidRPr="003E61BE" w:rsidRDefault="00A3608C" w:rsidP="00A3608C">
            <w:pPr>
              <w:numPr>
                <w:ilvl w:val="0"/>
                <w:numId w:val="7"/>
              </w:num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Circumference</w:t>
            </w:r>
          </w:p>
          <w:p w:rsidR="00A3608C" w:rsidRPr="003E61BE" w:rsidRDefault="00A3608C" w:rsidP="00A3608C">
            <w:pPr>
              <w:numPr>
                <w:ilvl w:val="0"/>
                <w:numId w:val="7"/>
              </w:num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Area</w:t>
            </w:r>
          </w:p>
          <w:p w:rsidR="00A3608C" w:rsidRPr="003E61BE" w:rsidRDefault="00A3608C" w:rsidP="00A3608C">
            <w:pPr>
              <w:numPr>
                <w:ilvl w:val="0"/>
                <w:numId w:val="7"/>
              </w:numPr>
              <w:rPr>
                <w:color w:val="0000FF"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Surface area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color w:val="0000FF"/>
                <w:sz w:val="16"/>
                <w:szCs w:val="16"/>
              </w:rPr>
              <w:t>volume</w:t>
            </w: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GLET:</w:t>
            </w:r>
          </w:p>
          <w:p w:rsidR="00A3608C" w:rsidRPr="003E61BE" w:rsidRDefault="00A3608C" w:rsidP="00A3608C">
            <w:pPr>
              <w:pStyle w:val="Title"/>
              <w:ind w:left="150" w:hanging="150"/>
              <w:jc w:val="left"/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Understand how the ratio of side lengths of two similar figure compare to the ratio of the areas of the two figures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</w:p>
          <w:p w:rsidR="00A3608C" w:rsidRPr="003E61BE" w:rsidRDefault="00A3608C" w:rsidP="00A3608C">
            <w:pPr>
              <w:rPr>
                <w:b/>
                <w:sz w:val="16"/>
                <w:szCs w:val="16"/>
              </w:rPr>
            </w:pPr>
            <w:r w:rsidRPr="003E61BE">
              <w:rPr>
                <w:b/>
                <w:sz w:val="16"/>
                <w:szCs w:val="16"/>
              </w:rPr>
              <w:t>Objective:</w:t>
            </w:r>
          </w:p>
          <w:p w:rsidR="00A3608C" w:rsidRPr="003E61BE" w:rsidRDefault="00A3608C" w:rsidP="00A3608C">
            <w:pPr>
              <w:rPr>
                <w:sz w:val="16"/>
                <w:szCs w:val="16"/>
              </w:rPr>
            </w:pPr>
            <w:r w:rsidRPr="003E61BE">
              <w:rPr>
                <w:sz w:val="16"/>
                <w:szCs w:val="16"/>
              </w:rPr>
              <w:t>(discover how the area changes with similar figures)</w:t>
            </w: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Content Objective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  <w:r w:rsidRPr="003E61BE">
              <w:rPr>
                <w:rFonts w:ascii="Century Gothic" w:hAnsi="Century Gothic"/>
                <w:sz w:val="16"/>
                <w:szCs w:val="16"/>
              </w:rPr>
              <w:t xml:space="preserve">I will demonstrate current knowledge of proportions, similarity, and Pythagorean Theorem by setting up and solving equations. </w:t>
            </w:r>
          </w:p>
        </w:tc>
        <w:tc>
          <w:tcPr>
            <w:tcW w:w="2268" w:type="dxa"/>
          </w:tcPr>
          <w:p w:rsidR="00A3608C" w:rsidRPr="003E61BE" w:rsidRDefault="00346EFE" w:rsidP="00186389">
            <w:pPr>
              <w:tabs>
                <w:tab w:val="left" w:pos="180"/>
              </w:tabs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I will identify </w:t>
            </w:r>
            <w:r w:rsidR="00B82A83">
              <w:rPr>
                <w:rFonts w:ascii="Century Gothic" w:hAnsi="Century Gothic"/>
                <w:sz w:val="16"/>
                <w:szCs w:val="16"/>
              </w:rPr>
              <w:t xml:space="preserve">if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polygons </w:t>
            </w:r>
            <w:r w:rsidR="00B82A83">
              <w:rPr>
                <w:rFonts w:ascii="Century Gothic" w:hAnsi="Century Gothic"/>
                <w:sz w:val="16"/>
                <w:szCs w:val="16"/>
              </w:rPr>
              <w:t xml:space="preserve">are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similar by </w:t>
            </w:r>
            <w:r w:rsidR="00186389">
              <w:rPr>
                <w:rFonts w:ascii="Century Gothic" w:hAnsi="Century Gothic"/>
                <w:sz w:val="16"/>
                <w:szCs w:val="16"/>
              </w:rPr>
              <w:t xml:space="preserve">verifying corresponding angles are congruent and </w:t>
            </w:r>
            <w:r>
              <w:rPr>
                <w:rFonts w:ascii="Century Gothic" w:hAnsi="Century Gothic"/>
                <w:sz w:val="16"/>
                <w:szCs w:val="16"/>
              </w:rPr>
              <w:t xml:space="preserve">setting up and </w:t>
            </w:r>
            <w:r w:rsidR="00186389">
              <w:rPr>
                <w:rFonts w:ascii="Century Gothic" w:hAnsi="Century Gothic"/>
                <w:sz w:val="16"/>
                <w:szCs w:val="16"/>
              </w:rPr>
              <w:t>reducing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proportions.</w:t>
            </w:r>
          </w:p>
        </w:tc>
        <w:tc>
          <w:tcPr>
            <w:tcW w:w="2610" w:type="dxa"/>
          </w:tcPr>
          <w:p w:rsidR="00890D00" w:rsidRPr="003E61BE" w:rsidRDefault="009C70FF" w:rsidP="009C70F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 will find missing side lengths in similar polygons by setting up solving proportions</w:t>
            </w:r>
          </w:p>
        </w:tc>
        <w:tc>
          <w:tcPr>
            <w:tcW w:w="2202" w:type="dxa"/>
          </w:tcPr>
          <w:p w:rsidR="009C70FF" w:rsidRDefault="009C70FF" w:rsidP="009C70F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 will determine if two triangles are similar by using one or more of these theorems:</w:t>
            </w:r>
          </w:p>
          <w:p w:rsidR="009C70FF" w:rsidRDefault="009C70FF" w:rsidP="009C70F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Angle-Angle</w:t>
            </w:r>
            <w:r w:rsidR="00D65DBD">
              <w:rPr>
                <w:rFonts w:ascii="Century Gothic" w:hAnsi="Century Gothic"/>
                <w:sz w:val="16"/>
                <w:szCs w:val="16"/>
              </w:rPr>
              <w:t xml:space="preserve"> Similarity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postulate (AA</w:t>
            </w:r>
            <w:r w:rsidR="00D65DBD">
              <w:rPr>
                <w:rFonts w:ascii="Century Gothic" w:hAnsi="Century Gothic"/>
                <w:sz w:val="16"/>
                <w:szCs w:val="16"/>
              </w:rPr>
              <w:t>~</w:t>
            </w:r>
            <w:r>
              <w:rPr>
                <w:rFonts w:ascii="Century Gothic" w:hAnsi="Century Gothic"/>
                <w:sz w:val="16"/>
                <w:szCs w:val="16"/>
              </w:rPr>
              <w:t>)</w:t>
            </w:r>
          </w:p>
          <w:p w:rsidR="009C70FF" w:rsidRDefault="009C70FF" w:rsidP="009C70F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Side-Angle-Side Similarity Theorem(SAS~)</w:t>
            </w:r>
          </w:p>
          <w:p w:rsidR="009C70FF" w:rsidRDefault="009C70FF" w:rsidP="009C70F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Side-Side-Side </w:t>
            </w:r>
            <w:r w:rsidR="00D65DBD">
              <w:rPr>
                <w:rFonts w:ascii="Century Gothic" w:hAnsi="Century Gothic"/>
                <w:sz w:val="16"/>
                <w:szCs w:val="16"/>
              </w:rPr>
              <w:t xml:space="preserve">Similarity </w:t>
            </w:r>
            <w:r>
              <w:rPr>
                <w:rFonts w:ascii="Century Gothic" w:hAnsi="Century Gothic"/>
                <w:sz w:val="16"/>
                <w:szCs w:val="16"/>
              </w:rPr>
              <w:t>Theorem (SSS~)</w:t>
            </w:r>
          </w:p>
          <w:p w:rsidR="00A3608C" w:rsidRPr="004405B3" w:rsidRDefault="00A3608C" w:rsidP="004405B3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88" w:type="dxa"/>
          </w:tcPr>
          <w:p w:rsidR="00A3608C" w:rsidRPr="004405B3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I will use properties of similar triangles to solve problems that involve indirect measurements (heights of tall objects, elevations, etc.)</w:t>
            </w: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Assessment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  <w:r w:rsidRPr="003E61BE">
              <w:rPr>
                <w:rFonts w:ascii="Century Gothic" w:hAnsi="Century Gothic"/>
                <w:sz w:val="16"/>
                <w:szCs w:val="16"/>
              </w:rPr>
              <w:t>This is a pre-assessment that becomes formative as students self check their work.</w:t>
            </w:r>
          </w:p>
        </w:tc>
        <w:tc>
          <w:tcPr>
            <w:tcW w:w="226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10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202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  <w:highlight w:val="yellow"/>
              </w:rPr>
            </w:pP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Summary of Content Addressed</w:t>
            </w:r>
          </w:p>
        </w:tc>
        <w:tc>
          <w:tcPr>
            <w:tcW w:w="2388" w:type="dxa"/>
          </w:tcPr>
          <w:p w:rsidR="00A3608C" w:rsidRPr="003E61BE" w:rsidRDefault="003E61BE" w:rsidP="003E61BE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Students are introduced to concept of similarity, and </w:t>
            </w:r>
            <w:r>
              <w:rPr>
                <w:rFonts w:ascii="Century Gothic" w:hAnsi="Century Gothic"/>
                <w:sz w:val="16"/>
                <w:szCs w:val="16"/>
              </w:rPr>
              <w:lastRenderedPageBreak/>
              <w:t>the mathematical relationships that exist between similar figures.</w:t>
            </w:r>
            <w:r w:rsidR="00174AAA">
              <w:rPr>
                <w:rFonts w:ascii="Century Gothic" w:hAnsi="Century Gothic"/>
                <w:sz w:val="16"/>
                <w:szCs w:val="16"/>
              </w:rPr>
              <w:t xml:space="preserve">  Students reminded of cross-multiplication method for solving proportions.</w:t>
            </w:r>
          </w:p>
        </w:tc>
        <w:tc>
          <w:tcPr>
            <w:tcW w:w="2268" w:type="dxa"/>
          </w:tcPr>
          <w:p w:rsidR="00454389" w:rsidRDefault="00454389" w:rsidP="00FB6C6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lastRenderedPageBreak/>
              <w:t>Prentice Hall lesson 7.2:</w:t>
            </w:r>
          </w:p>
          <w:p w:rsidR="00A3608C" w:rsidRPr="003E61BE" w:rsidRDefault="00FB6C6F" w:rsidP="00FB6C6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Use real-world examples </w:t>
            </w:r>
            <w:r>
              <w:rPr>
                <w:rFonts w:ascii="Century Gothic" w:hAnsi="Century Gothic"/>
                <w:sz w:val="16"/>
                <w:szCs w:val="16"/>
              </w:rPr>
              <w:lastRenderedPageBreak/>
              <w:t>wherever possible.  Students introduced to appropriate symbols and notation to describe congruence and similarity</w:t>
            </w:r>
            <w:r w:rsidR="00454389">
              <w:rPr>
                <w:rFonts w:ascii="Century Gothic" w:hAnsi="Century Gothic"/>
                <w:sz w:val="16"/>
                <w:szCs w:val="16"/>
              </w:rPr>
              <w:t>, as well as an “extended proportion.</w:t>
            </w:r>
          </w:p>
        </w:tc>
        <w:tc>
          <w:tcPr>
            <w:tcW w:w="2610" w:type="dxa"/>
          </w:tcPr>
          <w:p w:rsidR="00A3608C" w:rsidRPr="003E61BE" w:rsidRDefault="004405B3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lastRenderedPageBreak/>
              <w:t>Prentice Hall Lesson 7.3</w:t>
            </w:r>
          </w:p>
        </w:tc>
        <w:tc>
          <w:tcPr>
            <w:tcW w:w="2202" w:type="dxa"/>
          </w:tcPr>
          <w:p w:rsidR="00A3608C" w:rsidRPr="003E61BE" w:rsidRDefault="00534B8E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Exercises taken from Prentice Hall text with </w:t>
            </w:r>
            <w:r>
              <w:rPr>
                <w:rFonts w:ascii="Century Gothic" w:hAnsi="Century Gothic"/>
                <w:sz w:val="16"/>
                <w:szCs w:val="16"/>
              </w:rPr>
              <w:lastRenderedPageBreak/>
              <w:t>emphasis on setting up and solving real-world problems.  Classroom activities will include exploration using reflections (mirror Activity) and/or shadows (outside).</w:t>
            </w:r>
          </w:p>
        </w:tc>
        <w:tc>
          <w:tcPr>
            <w:tcW w:w="2388" w:type="dxa"/>
          </w:tcPr>
          <w:p w:rsidR="00A3608C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 w:rsidRPr="007B67F7">
              <w:rPr>
                <w:rFonts w:ascii="Century Gothic" w:hAnsi="Century Gothic"/>
                <w:sz w:val="16"/>
                <w:szCs w:val="16"/>
              </w:rPr>
              <w:lastRenderedPageBreak/>
              <w:t>Exploration/data collection activit</w:t>
            </w:r>
            <w:r>
              <w:rPr>
                <w:rFonts w:ascii="Century Gothic" w:hAnsi="Century Gothic"/>
                <w:sz w:val="16"/>
                <w:szCs w:val="16"/>
              </w:rPr>
              <w:t>ies.</w:t>
            </w:r>
          </w:p>
          <w:p w:rsidR="007B67F7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lastRenderedPageBreak/>
              <w:t>Activity 1.  Use similar triangles from shadows.</w:t>
            </w:r>
          </w:p>
          <w:p w:rsidR="007B67F7" w:rsidRPr="003E61BE" w:rsidRDefault="007B67F7" w:rsidP="00A3608C">
            <w:pPr>
              <w:rPr>
                <w:rFonts w:ascii="Century Gothic" w:hAnsi="Century Gothic"/>
                <w:sz w:val="16"/>
                <w:szCs w:val="16"/>
                <w:highlight w:val="yellow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Activity 2  Use mirror on the floor</w:t>
            </w: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lastRenderedPageBreak/>
              <w:t>Key Vocabulary and Lit Terms</w:t>
            </w:r>
          </w:p>
        </w:tc>
        <w:tc>
          <w:tcPr>
            <w:tcW w:w="2388" w:type="dxa"/>
          </w:tcPr>
          <w:p w:rsidR="00A3608C" w:rsidRPr="003E61BE" w:rsidRDefault="003E61BE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Ratio, proportion, </w:t>
            </w:r>
            <w:r w:rsidR="00174AAA">
              <w:rPr>
                <w:rFonts w:ascii="Century Gothic" w:hAnsi="Century Gothic"/>
                <w:sz w:val="16"/>
                <w:szCs w:val="16"/>
              </w:rPr>
              <w:t>scale factor</w:t>
            </w:r>
            <w:proofErr w:type="gramStart"/>
            <w:r w:rsidR="00D65DBD">
              <w:rPr>
                <w:rFonts w:ascii="Century Gothic" w:hAnsi="Century Gothic"/>
                <w:sz w:val="16"/>
                <w:szCs w:val="16"/>
              </w:rPr>
              <w:t>,  corresponding</w:t>
            </w:r>
            <w:proofErr w:type="gramEnd"/>
            <w:r w:rsidR="00D65DBD">
              <w:rPr>
                <w:rFonts w:ascii="Century Gothic" w:hAnsi="Century Gothic"/>
                <w:sz w:val="16"/>
                <w:szCs w:val="16"/>
              </w:rPr>
              <w:t xml:space="preserve"> parts</w:t>
            </w:r>
            <w:r w:rsidR="00174AAA"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A3608C" w:rsidRPr="003E61BE" w:rsidRDefault="006073D6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Similar Polygons:  Two or more polygons are similar if </w:t>
            </w:r>
            <w:r w:rsidR="0033274F">
              <w:rPr>
                <w:rFonts w:ascii="Century Gothic" w:hAnsi="Century Gothic"/>
                <w:sz w:val="16"/>
                <w:szCs w:val="16"/>
              </w:rPr>
              <w:t xml:space="preserve">all of the angles in one polygon are congruent to the corresponding angles in the other polygon, and </w:t>
            </w:r>
            <w:r>
              <w:rPr>
                <w:rFonts w:ascii="Century Gothic" w:hAnsi="Century Gothic"/>
                <w:sz w:val="16"/>
                <w:szCs w:val="16"/>
              </w:rPr>
              <w:t>the all of the sides from one figure are proportional to the corre</w:t>
            </w:r>
            <w:r w:rsidR="0033274F">
              <w:rPr>
                <w:rFonts w:ascii="Century Gothic" w:hAnsi="Century Gothic"/>
                <w:sz w:val="16"/>
                <w:szCs w:val="16"/>
              </w:rPr>
              <w:t>sponding sides in another polygon</w:t>
            </w:r>
            <w:r>
              <w:rPr>
                <w:rFonts w:ascii="Century Gothic" w:hAnsi="Century Gothic"/>
                <w:sz w:val="16"/>
                <w:szCs w:val="16"/>
              </w:rPr>
              <w:t>.</w:t>
            </w:r>
          </w:p>
        </w:tc>
        <w:tc>
          <w:tcPr>
            <w:tcW w:w="2610" w:type="dxa"/>
          </w:tcPr>
          <w:p w:rsidR="004405B3" w:rsidRPr="003E61BE" w:rsidRDefault="004405B3" w:rsidP="00A3608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202" w:type="dxa"/>
          </w:tcPr>
          <w:p w:rsidR="001C11CC" w:rsidRDefault="001C11CC" w:rsidP="001C11C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Angle-Angle postulate (AA)</w:t>
            </w:r>
          </w:p>
          <w:p w:rsidR="001C11CC" w:rsidRDefault="001C11CC" w:rsidP="001C11C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Side-Side-Side Theorem (SSS)</w:t>
            </w:r>
          </w:p>
          <w:p w:rsidR="00A3608C" w:rsidRPr="003E61BE" w:rsidRDefault="001C11CC" w:rsidP="001C11C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Side-Angle-Side Theorem SAS)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  <w:highlight w:val="yellow"/>
              </w:rPr>
            </w:pPr>
          </w:p>
        </w:tc>
      </w:tr>
      <w:tr w:rsidR="00A3608C" w:rsidRPr="003E61BE" w:rsidTr="00890D00">
        <w:tc>
          <w:tcPr>
            <w:tcW w:w="2832" w:type="dxa"/>
          </w:tcPr>
          <w:p w:rsidR="00A3608C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Warm-Up</w:t>
            </w:r>
          </w:p>
          <w:p w:rsidR="00534B8E" w:rsidRPr="00534B8E" w:rsidRDefault="00534B8E" w:rsidP="00A3608C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268" w:type="dxa"/>
          </w:tcPr>
          <w:p w:rsidR="00A3608C" w:rsidRPr="003E61BE" w:rsidRDefault="00F10109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Give</w:t>
            </w:r>
            <w:r w:rsidR="006073D6">
              <w:rPr>
                <w:rFonts w:ascii="Century Gothic" w:hAnsi="Century Gothic"/>
                <w:sz w:val="16"/>
                <w:szCs w:val="16"/>
              </w:rPr>
              <w:t>n</w:t>
            </w:r>
            <w:r>
              <w:rPr>
                <w:rFonts w:ascii="Century Gothic" w:hAnsi="Century Gothic"/>
                <w:sz w:val="16"/>
                <w:szCs w:val="16"/>
              </w:rPr>
              <w:t xml:space="preserve"> 2 similar figures name corresponding sides and angles.</w:t>
            </w:r>
          </w:p>
        </w:tc>
        <w:tc>
          <w:tcPr>
            <w:tcW w:w="2610" w:type="dxa"/>
          </w:tcPr>
          <w:p w:rsidR="007A7D3C" w:rsidRPr="003E61BE" w:rsidRDefault="0033274F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Determine if 2 polygons</w:t>
            </w:r>
            <w:r w:rsidR="00F10109">
              <w:rPr>
                <w:rFonts w:ascii="Century Gothic" w:hAnsi="Century Gothic"/>
                <w:sz w:val="16"/>
                <w:szCs w:val="16"/>
              </w:rPr>
              <w:t xml:space="preserve"> are similar by comparing corresponding angles and by setting up ratios of corresponding sides and reducing to lowest terms</w:t>
            </w:r>
          </w:p>
        </w:tc>
        <w:tc>
          <w:tcPr>
            <w:tcW w:w="2202" w:type="dxa"/>
          </w:tcPr>
          <w:p w:rsidR="00534B8E" w:rsidRPr="003E61BE" w:rsidRDefault="00F10109" w:rsidP="00F10109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Given 2 similar triangles Set up and solve a proportion to find the missing side. </w:t>
            </w:r>
          </w:p>
        </w:tc>
        <w:tc>
          <w:tcPr>
            <w:tcW w:w="2388" w:type="dxa"/>
          </w:tcPr>
          <w:p w:rsidR="00A3608C" w:rsidRPr="003E61BE" w:rsidRDefault="00A3608C" w:rsidP="00A3608C">
            <w:pPr>
              <w:rPr>
                <w:rFonts w:ascii="Century Gothic" w:hAnsi="Century Gothic"/>
                <w:sz w:val="16"/>
                <w:szCs w:val="16"/>
                <w:highlight w:val="yellow"/>
              </w:rPr>
            </w:pP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174AAA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>
              <w:rPr>
                <w:rFonts w:ascii="Arial" w:hAnsi="Arial"/>
                <w:b/>
                <w:sz w:val="16"/>
                <w:szCs w:val="16"/>
                <w:u w:val="single"/>
              </w:rPr>
              <w:t>“I</w:t>
            </w:r>
            <w:r w:rsidR="00DA2E81">
              <w:rPr>
                <w:rFonts w:ascii="Arial" w:hAnsi="Arial"/>
                <w:b/>
                <w:sz w:val="16"/>
                <w:szCs w:val="16"/>
                <w:u w:val="single"/>
              </w:rPr>
              <w:t xml:space="preserve"> </w:t>
            </w:r>
            <w:r w:rsidR="00A3608C"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Do”</w:t>
            </w:r>
          </w:p>
        </w:tc>
        <w:tc>
          <w:tcPr>
            <w:tcW w:w="2388" w:type="dxa"/>
          </w:tcPr>
          <w:p w:rsidR="00174AAA" w:rsidRDefault="00174AAA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(</w:t>
            </w:r>
            <w:r w:rsidRPr="00174AAA">
              <w:rPr>
                <w:rFonts w:ascii="Century Gothic" w:hAnsi="Century Gothic"/>
                <w:b/>
                <w:sz w:val="16"/>
                <w:szCs w:val="16"/>
              </w:rPr>
              <w:t>On th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>is day the sequence of I-do, We-do, You</w:t>
            </w:r>
            <w:r w:rsidRPr="00174AAA">
              <w:rPr>
                <w:rFonts w:ascii="Century Gothic" w:hAnsi="Century Gothic"/>
                <w:b/>
                <w:sz w:val="16"/>
                <w:szCs w:val="16"/>
              </w:rPr>
              <w:t>-do is changed to allow for a pretest of prior knowledge)</w:t>
            </w:r>
          </w:p>
          <w:p w:rsidR="00174AAA" w:rsidRDefault="00174AAA" w:rsidP="00A3608C">
            <w:pPr>
              <w:rPr>
                <w:rFonts w:ascii="Century Gothic" w:hAnsi="Century Gothic"/>
                <w:b/>
                <w:sz w:val="16"/>
                <w:szCs w:val="16"/>
              </w:rPr>
            </w:pPr>
            <w:r w:rsidRPr="00174AAA">
              <w:rPr>
                <w:rFonts w:ascii="Century Gothic" w:hAnsi="Century Gothic"/>
                <w:b/>
                <w:sz w:val="16"/>
                <w:szCs w:val="16"/>
              </w:rPr>
              <w:t>You-do:</w:t>
            </w:r>
          </w:p>
          <w:p w:rsidR="00A3608C" w:rsidRPr="003E61BE" w:rsidRDefault="003E61BE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Students given the pre-test at the beginning of class</w:t>
            </w:r>
            <w:r w:rsidR="00DA2E81">
              <w:rPr>
                <w:rFonts w:ascii="Century Gothic" w:hAnsi="Century Gothic"/>
                <w:sz w:val="16"/>
                <w:szCs w:val="16"/>
              </w:rPr>
              <w:t>.  Students are given 25 minutes to complete the pre-test.</w:t>
            </w:r>
          </w:p>
        </w:tc>
        <w:tc>
          <w:tcPr>
            <w:tcW w:w="2268" w:type="dxa"/>
          </w:tcPr>
          <w:p w:rsidR="006073D6" w:rsidRPr="006073D6" w:rsidRDefault="006073D6" w:rsidP="00A3608C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Introduce vocabulary: </w:t>
            </w:r>
            <w:r w:rsidRPr="006073D6">
              <w:rPr>
                <w:rFonts w:ascii="Century Gothic" w:hAnsi="Century Gothic"/>
                <w:b/>
                <w:sz w:val="16"/>
                <w:szCs w:val="16"/>
              </w:rPr>
              <w:t>Similar polygons</w:t>
            </w:r>
          </w:p>
          <w:p w:rsidR="006073D6" w:rsidRDefault="006073D6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Review definitions of ratio and proportion.</w:t>
            </w:r>
          </w:p>
          <w:p w:rsidR="00F266A3" w:rsidRDefault="00F266A3" w:rsidP="00F266A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Provide notes on procedure for determining similarity.</w:t>
            </w:r>
          </w:p>
          <w:p w:rsidR="0033274F" w:rsidRPr="003E61BE" w:rsidRDefault="00F266A3" w:rsidP="00F266A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Use sample problems from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notes.  Provide non-examples.</w:t>
            </w:r>
          </w:p>
        </w:tc>
        <w:tc>
          <w:tcPr>
            <w:tcW w:w="2610" w:type="dxa"/>
          </w:tcPr>
          <w:p w:rsidR="00F266A3" w:rsidRDefault="00F266A3" w:rsidP="00F266A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Essential question: “What if we know two polygons are similar but there is one or more dimensions missing?”</w:t>
            </w:r>
          </w:p>
          <w:p w:rsidR="00F266A3" w:rsidRDefault="00F266A3" w:rsidP="00F266A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Demonstrate procedure, setting up and solving proportions.</w:t>
            </w:r>
          </w:p>
          <w:p w:rsidR="0033274F" w:rsidRPr="003E61BE" w:rsidRDefault="00F266A3" w:rsidP="00F266A3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See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 for sample problems.</w:t>
            </w:r>
          </w:p>
        </w:tc>
        <w:tc>
          <w:tcPr>
            <w:tcW w:w="2202" w:type="dxa"/>
          </w:tcPr>
          <w:p w:rsidR="00A3608C" w:rsidRDefault="00F266A3" w:rsidP="0033274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Essential question: “Are there any ‘shortcuts’ that make determining similarity easier?”</w:t>
            </w:r>
          </w:p>
          <w:p w:rsidR="00F266A3" w:rsidRDefault="00F266A3" w:rsidP="0033274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Provide definitions for Angle-Angle Similarity (review third-angle conjecture if necessary),</w:t>
            </w:r>
          </w:p>
          <w:p w:rsidR="00F266A3" w:rsidRDefault="00F266A3" w:rsidP="0033274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Side-Angle-Side Similarity, Side-Side-Side Similarity.</w:t>
            </w:r>
          </w:p>
          <w:p w:rsidR="00F266A3" w:rsidRPr="003E61BE" w:rsidRDefault="00F266A3" w:rsidP="0033274F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See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notes.</w:t>
            </w:r>
          </w:p>
        </w:tc>
        <w:tc>
          <w:tcPr>
            <w:tcW w:w="2388" w:type="dxa"/>
          </w:tcPr>
          <w:p w:rsidR="00A3608C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Essential question: “How can we use triangle similarity in the real-world?”</w:t>
            </w:r>
          </w:p>
          <w:p w:rsidR="007B67F7" w:rsidRPr="003E61BE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Discuss examples of where similar triangles can be found. (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example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>: shadow of a flag pole and shadow of a person standing next to flag pole.</w:t>
            </w:r>
          </w:p>
        </w:tc>
      </w:tr>
      <w:tr w:rsidR="00A3608C" w:rsidRPr="003E61BE" w:rsidTr="00890D00">
        <w:tc>
          <w:tcPr>
            <w:tcW w:w="2832" w:type="dxa"/>
          </w:tcPr>
          <w:p w:rsidR="00A3608C" w:rsidRPr="003E61BE" w:rsidRDefault="00A3608C" w:rsidP="00A3608C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“We Do”</w:t>
            </w:r>
          </w:p>
        </w:tc>
        <w:tc>
          <w:tcPr>
            <w:tcW w:w="2388" w:type="dxa"/>
          </w:tcPr>
          <w:p w:rsidR="00A3608C" w:rsidRDefault="00174AAA" w:rsidP="00A3608C">
            <w:pPr>
              <w:rPr>
                <w:rFonts w:ascii="Century Gothic" w:hAnsi="Century Gothic"/>
                <w:sz w:val="16"/>
                <w:szCs w:val="16"/>
              </w:rPr>
            </w:pPr>
            <w:r w:rsidRPr="00174AAA">
              <w:rPr>
                <w:rFonts w:ascii="Century Gothic" w:hAnsi="Century Gothic"/>
                <w:b/>
                <w:sz w:val="16"/>
                <w:szCs w:val="16"/>
              </w:rPr>
              <w:t>I-do:</w:t>
            </w:r>
            <w:r>
              <w:rPr>
                <w:rFonts w:ascii="Century Gothic" w:hAnsi="Century Gothic"/>
                <w:b/>
                <w:sz w:val="16"/>
                <w:szCs w:val="16"/>
              </w:rPr>
              <w:t xml:space="preserve"> </w:t>
            </w:r>
          </w:p>
          <w:p w:rsidR="00174AAA" w:rsidRPr="00174AAA" w:rsidRDefault="00174AAA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Display answers for students to check their work.  Demonstrate cross-multiplication m</w:t>
            </w:r>
            <w:r w:rsidR="001C11CC">
              <w:rPr>
                <w:rFonts w:ascii="Century Gothic" w:hAnsi="Century Gothic"/>
                <w:sz w:val="16"/>
                <w:szCs w:val="16"/>
              </w:rPr>
              <w:t xml:space="preserve">ethod for solving proportions, </w:t>
            </w:r>
            <w:r>
              <w:rPr>
                <w:rFonts w:ascii="Century Gothic" w:hAnsi="Century Gothic"/>
                <w:sz w:val="16"/>
                <w:szCs w:val="16"/>
              </w:rPr>
              <w:t>write definitions for ratio, proportion, scale factor.</w:t>
            </w:r>
          </w:p>
        </w:tc>
        <w:tc>
          <w:tcPr>
            <w:tcW w:w="2268" w:type="dxa"/>
          </w:tcPr>
          <w:p w:rsidR="00A3608C" w:rsidRPr="003E61BE" w:rsidRDefault="0033274F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See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</w:t>
            </w:r>
            <w:r w:rsidR="00F266A3">
              <w:rPr>
                <w:rFonts w:ascii="Century Gothic" w:hAnsi="Century Gothic"/>
                <w:sz w:val="16"/>
                <w:szCs w:val="16"/>
              </w:rPr>
              <w:t xml:space="preserve"> for sample problems.</w:t>
            </w:r>
          </w:p>
        </w:tc>
        <w:tc>
          <w:tcPr>
            <w:tcW w:w="2610" w:type="dxa"/>
          </w:tcPr>
          <w:p w:rsidR="00A3608C" w:rsidRPr="003E61BE" w:rsidRDefault="00F266A3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See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 for sample problems.</w:t>
            </w:r>
          </w:p>
        </w:tc>
        <w:tc>
          <w:tcPr>
            <w:tcW w:w="2202" w:type="dxa"/>
          </w:tcPr>
          <w:p w:rsidR="00A3608C" w:rsidRPr="003E61BE" w:rsidRDefault="00F266A3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See 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teachers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notes for sample problems.</w:t>
            </w:r>
          </w:p>
        </w:tc>
        <w:tc>
          <w:tcPr>
            <w:tcW w:w="2388" w:type="dxa"/>
          </w:tcPr>
          <w:p w:rsidR="00A3608C" w:rsidRDefault="007B67F7" w:rsidP="00A3608C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Write a plan.</w:t>
            </w:r>
          </w:p>
          <w:p w:rsidR="00B611E9" w:rsidRDefault="007B67F7" w:rsidP="007B67F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Draw a sketch.  </w:t>
            </w:r>
          </w:p>
          <w:p w:rsidR="007B67F7" w:rsidRDefault="007B67F7" w:rsidP="007B67F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Decide what measurements can be taken and what needs to calculated.</w:t>
            </w:r>
          </w:p>
          <w:p w:rsidR="00B611E9" w:rsidRDefault="00B611E9" w:rsidP="007B67F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Set up a proportion.</w:t>
            </w:r>
          </w:p>
          <w:p w:rsidR="00B611E9" w:rsidRDefault="00B611E9" w:rsidP="007B67F7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Solve, justify the final answer.  Is it reasonable?</w:t>
            </w:r>
          </w:p>
          <w:p w:rsidR="007B67F7" w:rsidRPr="003E61BE" w:rsidRDefault="007B67F7" w:rsidP="007B67F7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  <w:tr w:rsidR="00174AAA" w:rsidRPr="003E61BE" w:rsidTr="00890D00">
        <w:tc>
          <w:tcPr>
            <w:tcW w:w="2832" w:type="dxa"/>
          </w:tcPr>
          <w:p w:rsidR="00174AAA" w:rsidRPr="003E61BE" w:rsidRDefault="00174AAA" w:rsidP="00174AAA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“You Do”</w:t>
            </w:r>
          </w:p>
        </w:tc>
        <w:tc>
          <w:tcPr>
            <w:tcW w:w="2388" w:type="dxa"/>
          </w:tcPr>
          <w:p w:rsidR="00174AAA" w:rsidRPr="00174AAA" w:rsidRDefault="00174AAA" w:rsidP="00174AAA">
            <w:pPr>
              <w:rPr>
                <w:rFonts w:ascii="Century Gothic" w:hAnsi="Century Gothic"/>
                <w:b/>
                <w:sz w:val="16"/>
                <w:szCs w:val="16"/>
              </w:rPr>
            </w:pPr>
            <w:r>
              <w:rPr>
                <w:rFonts w:ascii="Century Gothic" w:hAnsi="Century Gothic"/>
                <w:b/>
                <w:sz w:val="16"/>
                <w:szCs w:val="16"/>
              </w:rPr>
              <w:t>We</w:t>
            </w:r>
            <w:r w:rsidRPr="00174AAA">
              <w:rPr>
                <w:rFonts w:ascii="Century Gothic" w:hAnsi="Century Gothic"/>
                <w:b/>
                <w:sz w:val="16"/>
                <w:szCs w:val="16"/>
              </w:rPr>
              <w:t>-do:</w:t>
            </w:r>
          </w:p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Students will take notes while they self check their answers.  Students will write definitions for ratio and proportion.</w:t>
            </w:r>
          </w:p>
        </w:tc>
        <w:tc>
          <w:tcPr>
            <w:tcW w:w="2268" w:type="dxa"/>
          </w:tcPr>
          <w:p w:rsidR="00174AAA" w:rsidRPr="003E61BE" w:rsidRDefault="00F266A3" w:rsidP="00174AA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“You-do” exercises are in the student handbook.  See Prentice Hall text for extensions and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remediations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>, Lessons 7.1-7.3</w:t>
            </w:r>
          </w:p>
        </w:tc>
        <w:tc>
          <w:tcPr>
            <w:tcW w:w="2610" w:type="dxa"/>
          </w:tcPr>
          <w:p w:rsidR="00174AAA" w:rsidRPr="003E61BE" w:rsidRDefault="00F266A3" w:rsidP="00174AA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“You-do” exercises are in the student handbook.  See Prentice Hall text for extensions and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remediations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>, Lessons 7.1-7.3</w:t>
            </w:r>
          </w:p>
        </w:tc>
        <w:tc>
          <w:tcPr>
            <w:tcW w:w="2202" w:type="dxa"/>
          </w:tcPr>
          <w:p w:rsidR="00174AAA" w:rsidRPr="003E61BE" w:rsidRDefault="00F266A3" w:rsidP="00174AA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 xml:space="preserve">“You-do” exercises are in the student handbook.  See Prentice Hall text for extensions and </w:t>
            </w:r>
            <w:proofErr w:type="spellStart"/>
            <w:r>
              <w:rPr>
                <w:rFonts w:ascii="Century Gothic" w:hAnsi="Century Gothic"/>
                <w:sz w:val="16"/>
                <w:szCs w:val="16"/>
              </w:rPr>
              <w:t>remediations</w:t>
            </w:r>
            <w:proofErr w:type="spellEnd"/>
            <w:r>
              <w:rPr>
                <w:rFonts w:ascii="Century Gothic" w:hAnsi="Century Gothic"/>
                <w:sz w:val="16"/>
                <w:szCs w:val="16"/>
              </w:rPr>
              <w:t>, Lessons 7.1-7.3</w:t>
            </w:r>
          </w:p>
        </w:tc>
        <w:tc>
          <w:tcPr>
            <w:tcW w:w="2388" w:type="dxa"/>
          </w:tcPr>
          <w:p w:rsidR="00174AAA" w:rsidRPr="003E61BE" w:rsidRDefault="00B611E9" w:rsidP="00B611E9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Collect data.  (</w:t>
            </w:r>
            <w:proofErr w:type="gramStart"/>
            <w:r>
              <w:rPr>
                <w:rFonts w:ascii="Century Gothic" w:hAnsi="Century Gothic"/>
                <w:sz w:val="16"/>
                <w:szCs w:val="16"/>
              </w:rPr>
              <w:t>additional</w:t>
            </w:r>
            <w:proofErr w:type="gramEnd"/>
            <w:r>
              <w:rPr>
                <w:rFonts w:ascii="Century Gothic" w:hAnsi="Century Gothic"/>
                <w:sz w:val="16"/>
                <w:szCs w:val="16"/>
              </w:rPr>
              <w:t xml:space="preserve"> plans will be provided as availability of materials and supplies are determined).</w:t>
            </w:r>
          </w:p>
        </w:tc>
      </w:tr>
      <w:tr w:rsidR="00174AAA" w:rsidRPr="003E61BE" w:rsidTr="00890D00">
        <w:tc>
          <w:tcPr>
            <w:tcW w:w="2832" w:type="dxa"/>
          </w:tcPr>
          <w:p w:rsidR="00174AAA" w:rsidRPr="003E61BE" w:rsidRDefault="00174AAA" w:rsidP="00174AAA">
            <w:pPr>
              <w:rPr>
                <w:rFonts w:ascii="Arial" w:hAnsi="Arial"/>
                <w:b/>
                <w:sz w:val="16"/>
                <w:szCs w:val="16"/>
                <w:u w:val="single"/>
              </w:rPr>
            </w:pPr>
            <w:r w:rsidRPr="003E61BE">
              <w:rPr>
                <w:rFonts w:ascii="Arial" w:hAnsi="Arial"/>
                <w:b/>
                <w:sz w:val="16"/>
                <w:szCs w:val="16"/>
                <w:u w:val="single"/>
              </w:rPr>
              <w:t>Resources</w:t>
            </w:r>
          </w:p>
        </w:tc>
        <w:tc>
          <w:tcPr>
            <w:tcW w:w="2388" w:type="dxa"/>
          </w:tcPr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sz w:val="16"/>
                <w:szCs w:val="16"/>
              </w:rPr>
              <w:t>Pre-assessment/re-teach proportions worksheet.</w:t>
            </w:r>
          </w:p>
        </w:tc>
        <w:tc>
          <w:tcPr>
            <w:tcW w:w="2268" w:type="dxa"/>
          </w:tcPr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610" w:type="dxa"/>
          </w:tcPr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202" w:type="dxa"/>
          </w:tcPr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  <w:tc>
          <w:tcPr>
            <w:tcW w:w="2388" w:type="dxa"/>
          </w:tcPr>
          <w:p w:rsidR="00174AAA" w:rsidRPr="003E61BE" w:rsidRDefault="00174AAA" w:rsidP="00174AAA">
            <w:pPr>
              <w:rPr>
                <w:rFonts w:ascii="Century Gothic" w:hAnsi="Century Gothic"/>
                <w:sz w:val="16"/>
                <w:szCs w:val="16"/>
              </w:rPr>
            </w:pPr>
          </w:p>
        </w:tc>
      </w:tr>
    </w:tbl>
    <w:p w:rsidR="00193895" w:rsidRPr="003E61BE" w:rsidRDefault="00193895" w:rsidP="00193895">
      <w:pPr>
        <w:rPr>
          <w:sz w:val="16"/>
          <w:szCs w:val="16"/>
        </w:rPr>
      </w:pPr>
    </w:p>
    <w:p w:rsidR="00193895" w:rsidRPr="003E61BE" w:rsidRDefault="00193895" w:rsidP="00193895">
      <w:pPr>
        <w:rPr>
          <w:sz w:val="16"/>
          <w:szCs w:val="16"/>
        </w:rPr>
      </w:pPr>
    </w:p>
    <w:sectPr w:rsidR="00193895" w:rsidRPr="003E61BE" w:rsidSect="00BB1FBB">
      <w:pgSz w:w="15840" w:h="12240" w:orient="landscape"/>
      <w:pgMar w:top="1080" w:right="576" w:bottom="1080" w:left="79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335F"/>
    <w:multiLevelType w:val="hybridMultilevel"/>
    <w:tmpl w:val="8DFC8220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A24AB5"/>
    <w:multiLevelType w:val="hybridMultilevel"/>
    <w:tmpl w:val="A0D800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713B0A"/>
    <w:multiLevelType w:val="hybridMultilevel"/>
    <w:tmpl w:val="1C72C9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7C6616A"/>
    <w:multiLevelType w:val="hybridMultilevel"/>
    <w:tmpl w:val="B4281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8D3FBD"/>
    <w:multiLevelType w:val="hybridMultilevel"/>
    <w:tmpl w:val="A830CB6C"/>
    <w:lvl w:ilvl="0" w:tplc="0409000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5">
    <w:nsid w:val="6E882888"/>
    <w:multiLevelType w:val="hybridMultilevel"/>
    <w:tmpl w:val="DE2CC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F172CD"/>
    <w:multiLevelType w:val="hybridMultilevel"/>
    <w:tmpl w:val="F13C1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3895"/>
    <w:rsid w:val="00037A77"/>
    <w:rsid w:val="000938F0"/>
    <w:rsid w:val="000B2B1E"/>
    <w:rsid w:val="000F7821"/>
    <w:rsid w:val="00102459"/>
    <w:rsid w:val="00152A4E"/>
    <w:rsid w:val="00174AAA"/>
    <w:rsid w:val="00186389"/>
    <w:rsid w:val="00193895"/>
    <w:rsid w:val="001B347A"/>
    <w:rsid w:val="001C11CC"/>
    <w:rsid w:val="00204CBB"/>
    <w:rsid w:val="00212AD7"/>
    <w:rsid w:val="0023079C"/>
    <w:rsid w:val="00233296"/>
    <w:rsid w:val="002A741E"/>
    <w:rsid w:val="002D0116"/>
    <w:rsid w:val="002F0176"/>
    <w:rsid w:val="0033274F"/>
    <w:rsid w:val="00346EFE"/>
    <w:rsid w:val="003E61BE"/>
    <w:rsid w:val="003F5134"/>
    <w:rsid w:val="004405B3"/>
    <w:rsid w:val="00447BC8"/>
    <w:rsid w:val="00452B8C"/>
    <w:rsid w:val="00454389"/>
    <w:rsid w:val="00485F78"/>
    <w:rsid w:val="0049406F"/>
    <w:rsid w:val="0049635F"/>
    <w:rsid w:val="004B2FAE"/>
    <w:rsid w:val="00511D3F"/>
    <w:rsid w:val="005256A1"/>
    <w:rsid w:val="00534B8E"/>
    <w:rsid w:val="00537DA7"/>
    <w:rsid w:val="005D1457"/>
    <w:rsid w:val="005D1D74"/>
    <w:rsid w:val="006073D6"/>
    <w:rsid w:val="006106D9"/>
    <w:rsid w:val="00624297"/>
    <w:rsid w:val="00637DBF"/>
    <w:rsid w:val="006D10A7"/>
    <w:rsid w:val="006D31FF"/>
    <w:rsid w:val="00734652"/>
    <w:rsid w:val="00756F23"/>
    <w:rsid w:val="007725AA"/>
    <w:rsid w:val="00780105"/>
    <w:rsid w:val="007A7D3C"/>
    <w:rsid w:val="007B67F7"/>
    <w:rsid w:val="007F3848"/>
    <w:rsid w:val="00890D00"/>
    <w:rsid w:val="00895F51"/>
    <w:rsid w:val="008C618B"/>
    <w:rsid w:val="0092473F"/>
    <w:rsid w:val="00960E80"/>
    <w:rsid w:val="0098398A"/>
    <w:rsid w:val="00986333"/>
    <w:rsid w:val="009A72E3"/>
    <w:rsid w:val="009C70FF"/>
    <w:rsid w:val="009E499E"/>
    <w:rsid w:val="009F61A8"/>
    <w:rsid w:val="00A07829"/>
    <w:rsid w:val="00A3608C"/>
    <w:rsid w:val="00AC3C4E"/>
    <w:rsid w:val="00AE048A"/>
    <w:rsid w:val="00B02729"/>
    <w:rsid w:val="00B611E9"/>
    <w:rsid w:val="00B82A83"/>
    <w:rsid w:val="00BB1FBB"/>
    <w:rsid w:val="00BC76BC"/>
    <w:rsid w:val="00BD657D"/>
    <w:rsid w:val="00BD69EC"/>
    <w:rsid w:val="00C32E82"/>
    <w:rsid w:val="00C358E4"/>
    <w:rsid w:val="00C61C85"/>
    <w:rsid w:val="00C64C25"/>
    <w:rsid w:val="00C91691"/>
    <w:rsid w:val="00D43FD5"/>
    <w:rsid w:val="00D65DBD"/>
    <w:rsid w:val="00DA2E81"/>
    <w:rsid w:val="00DB1050"/>
    <w:rsid w:val="00E30BEE"/>
    <w:rsid w:val="00E94536"/>
    <w:rsid w:val="00E96F6A"/>
    <w:rsid w:val="00EC48B8"/>
    <w:rsid w:val="00EE7C64"/>
    <w:rsid w:val="00F10109"/>
    <w:rsid w:val="00F266A3"/>
    <w:rsid w:val="00FB6C6F"/>
    <w:rsid w:val="00FD294F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A70"/>
  </w:style>
  <w:style w:type="paragraph" w:styleId="Heading6">
    <w:name w:val="heading 6"/>
    <w:basedOn w:val="Normal"/>
    <w:next w:val="Normal"/>
    <w:link w:val="Heading6Char"/>
    <w:qFormat/>
    <w:rsid w:val="009F61A8"/>
    <w:pPr>
      <w:keepNext/>
      <w:spacing w:before="100" w:beforeAutospacing="1" w:after="100" w:afterAutospacing="1"/>
      <w:ind w:right="720"/>
      <w:jc w:val="center"/>
      <w:outlineLvl w:val="5"/>
    </w:pPr>
    <w:rPr>
      <w:rFonts w:ascii="Times New Roman" w:eastAsia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8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D69E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9E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rsid w:val="009F61A8"/>
    <w:rPr>
      <w:rFonts w:ascii="Times New Roman" w:eastAsia="Times New Roman" w:hAnsi="Times New Roman" w:cs="Times New Roman"/>
      <w:sz w:val="28"/>
    </w:rPr>
  </w:style>
  <w:style w:type="paragraph" w:styleId="BodyText3">
    <w:name w:val="Body Text 3"/>
    <w:basedOn w:val="Normal"/>
    <w:link w:val="BodyText3Char"/>
    <w:uiPriority w:val="99"/>
    <w:rsid w:val="002D0116"/>
    <w:rPr>
      <w:rFonts w:ascii="Times New Roman" w:eastAsia="Times New Roman" w:hAnsi="Times New Roman" w:cs="Times New Roman"/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rsid w:val="002D0116"/>
    <w:rPr>
      <w:rFonts w:ascii="Times New Roman" w:eastAsia="Times New Roman" w:hAnsi="Times New Roman" w:cs="Times New Roman"/>
      <w:color w:val="0000FF"/>
    </w:rPr>
  </w:style>
  <w:style w:type="paragraph" w:customStyle="1" w:styleId="Default">
    <w:name w:val="Default"/>
    <w:uiPriority w:val="99"/>
    <w:rsid w:val="000B2B1E"/>
    <w:pPr>
      <w:widowControl w:val="0"/>
      <w:autoSpaceDE w:val="0"/>
      <w:autoSpaceDN w:val="0"/>
      <w:adjustRightInd w:val="0"/>
    </w:pPr>
    <w:rPr>
      <w:rFonts w:ascii="Freestyle Script" w:eastAsia="Times New Roman" w:hAnsi="Freestyle Script" w:cs="Times New Roman"/>
      <w:color w:val="000000"/>
    </w:rPr>
  </w:style>
  <w:style w:type="paragraph" w:styleId="Title">
    <w:name w:val="Title"/>
    <w:basedOn w:val="Normal"/>
    <w:link w:val="TitleChar"/>
    <w:uiPriority w:val="99"/>
    <w:qFormat/>
    <w:rsid w:val="000B2B1E"/>
    <w:pPr>
      <w:jc w:val="center"/>
    </w:pPr>
    <w:rPr>
      <w:rFonts w:ascii="Times New Roman" w:eastAsia="Times New Roman" w:hAnsi="Times New Roman" w:cs="Times New Roman"/>
      <w:sz w:val="40"/>
    </w:rPr>
  </w:style>
  <w:style w:type="character" w:customStyle="1" w:styleId="TitleChar">
    <w:name w:val="Title Char"/>
    <w:basedOn w:val="DefaultParagraphFont"/>
    <w:link w:val="Title"/>
    <w:uiPriority w:val="99"/>
    <w:rsid w:val="000B2B1E"/>
    <w:rPr>
      <w:rFonts w:ascii="Times New Roman" w:eastAsia="Times New Roman" w:hAnsi="Times New Roman" w:cs="Times New Roman"/>
      <w:sz w:val="40"/>
    </w:rPr>
  </w:style>
  <w:style w:type="paragraph" w:styleId="ListParagraph">
    <w:name w:val="List Paragraph"/>
    <w:basedOn w:val="Normal"/>
    <w:uiPriority w:val="34"/>
    <w:qFormat/>
    <w:rsid w:val="00756F23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A3608C"/>
    <w:rPr>
      <w:rFonts w:ascii="Times New Roman" w:eastAsia="Times New Roman" w:hAnsi="Times New Roman" w:cs="Times New Roman"/>
      <w:color w:val="0000FF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rsid w:val="00A3608C"/>
    <w:rPr>
      <w:rFonts w:ascii="Times New Roman" w:eastAsia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3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City High School</Company>
  <LinksUpToDate>false</LinksUpToDate>
  <CharactersWithSpaces>7413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 Hendee-Nadelhoffer</dc:creator>
  <cp:keywords/>
  <cp:lastModifiedBy>tdeaguer</cp:lastModifiedBy>
  <cp:revision>5</cp:revision>
  <cp:lastPrinted>2010-10-11T11:38:00Z</cp:lastPrinted>
  <dcterms:created xsi:type="dcterms:W3CDTF">2010-10-28T02:48:00Z</dcterms:created>
  <dcterms:modified xsi:type="dcterms:W3CDTF">2010-11-01T09:54:00Z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